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111</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408241</w:t>
      </w:r>
      <w:bookmarkStart w:id="0" w:name="_GoBack"/>
      <w:bookmarkEnd w:id="0"/>
    </w:p>
    <w:p>
      <w:pPr>
        <w:pStyle w:val="16"/>
        <w:tabs>
          <w:tab w:val="right" w:pos="9781"/>
          <w:tab w:val="right" w:pos="13323"/>
          <w:tab w:val="clear" w:pos="4536"/>
          <w:tab w:val="clear" w:pos="9072"/>
        </w:tabs>
        <w:spacing w:before="60" w:after="60"/>
        <w:outlineLvl w:val="0"/>
        <w:rPr>
          <w:rFonts w:ascii="Arial" w:hAnsi="Arial" w:eastAsia="Times New Roman" w:cs="Arial"/>
          <w:b/>
          <w:color w:val="auto"/>
          <w:sz w:val="24"/>
          <w:szCs w:val="24"/>
          <w:lang w:val="en-US" w:eastAsia="zh-CN" w:bidi="ar-SA"/>
        </w:rPr>
      </w:pPr>
      <w:r>
        <w:rPr>
          <w:rFonts w:ascii="Arial" w:hAnsi="Arial" w:eastAsia="Times New Roman" w:cs="Arial"/>
          <w:b/>
          <w:color w:val="auto"/>
          <w:sz w:val="24"/>
          <w:szCs w:val="24"/>
          <w:lang w:val="en-US" w:eastAsia="zh-CN" w:bidi="ar-SA"/>
        </w:rPr>
        <w:t>Fukuoka City, Fukuoka , Japan, 20th – 24th May,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maintenance of ATG</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5.2.6.3</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previous meetings, wide discussion around the core part and performance part of ATG have been discussed and good progress were achieved. During last meeting, one new issue regarding the tolerance for deriveSSB-IndexFromCell and deriveSSB-IndexFromCellInter-r17 was proposed. In this paper, we provide our views on this issue.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10"/>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Firstly, based on current spec, whether the NW IE deriveSSB-IndexFromCell/deriveSSB-IndexFromCellInter-r17 is indicated to UE, totally depend on NW desicion. In practice, NW would decide whether indicate such IEs based on the cell deployment and the duplex mode. So for legacy TN deployment, it is assumed that deriveSSB-IndexFromCell is always enabled for FR1 TDD and FR2 with SCS smaller or equal to 480 kHz.</w:t>
      </w:r>
    </w:p>
    <w:p>
      <w:pPr>
        <w:pStyle w:val="10"/>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ATG scenario, during previous meetings, whether and when to enable deriveSSB-IndexFromCell/deriveSSB-IndexFromCellInter-r17 has been discussed, the reason behind just lies in the possible large ISD in ATG scenario. After discussion, the following progress were achieved in[1]: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pStyle w:val="30"/>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hanging="357" w:firstLineChars="0"/>
              <w:textAlignment w:val="auto"/>
              <w:rPr>
                <w:rFonts w:eastAsia="宋体" w:cs="Times New Roman"/>
                <w:sz w:val="20"/>
                <w:szCs w:val="20"/>
              </w:rPr>
            </w:pPr>
            <w:r>
              <w:rPr>
                <w:rFonts w:eastAsia="宋体" w:cs="Times New Roman"/>
                <w:sz w:val="20"/>
                <w:szCs w:val="20"/>
              </w:rPr>
              <w:t>It is up to network to decide whether to enable ‘deriveSSB-IndexFromCell’ and ‘deriveSSB-IndexFromCell-inter’ or not based on DL SCS and ISD.</w:t>
            </w:r>
          </w:p>
          <w:p>
            <w:pPr>
              <w:pStyle w:val="30"/>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hanging="357" w:firstLineChars="0"/>
              <w:textAlignment w:val="auto"/>
              <w:rPr>
                <w:rFonts w:hint="default" w:ascii="Times New Roman" w:hAnsi="Times New Roman" w:eastAsia="宋体" w:cs="Times New Roman"/>
                <w:b/>
                <w:sz w:val="20"/>
                <w:szCs w:val="20"/>
                <w:u w:val="single"/>
                <w:lang w:val="en-US" w:eastAsia="zh-CN"/>
              </w:rPr>
            </w:pPr>
            <w:r>
              <w:rPr>
                <w:rFonts w:eastAsia="宋体" w:cs="Times New Roman"/>
                <w:sz w:val="20"/>
                <w:szCs w:val="20"/>
              </w:rPr>
              <w:t>For ATG TDD deployment, ‘deriveSSB-IndexFromCell’ and/or ‘deriveSSB-IndexFromCell-inter’ are not always applicable</w:t>
            </w:r>
          </w:p>
          <w:p>
            <w:pPr>
              <w:pStyle w:val="30"/>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hanging="357" w:firstLineChars="0"/>
              <w:textAlignment w:val="auto"/>
              <w:rPr>
                <w:rFonts w:hint="default" w:ascii="Times New Roman" w:hAnsi="Times New Roman" w:eastAsia="宋体" w:cs="Times New Roman"/>
                <w:b/>
                <w:sz w:val="20"/>
                <w:szCs w:val="20"/>
                <w:u w:val="single"/>
                <w:lang w:val="en-US" w:eastAsia="zh-CN"/>
              </w:rPr>
            </w:pPr>
            <w:r>
              <w:rPr>
                <w:rFonts w:eastAsia="宋体" w:cs="Times New Roman"/>
                <w:sz w:val="20"/>
                <w:szCs w:val="20"/>
              </w:rPr>
              <w:t>Further discuss whether assistance information is needed.</w:t>
            </w:r>
          </w:p>
          <w:p>
            <w:pPr>
              <w:pStyle w:val="30"/>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159" w:leftChars="0"/>
              <w:textAlignment w:val="auto"/>
              <w:rPr>
                <w:rFonts w:hint="default" w:ascii="Times New Roman" w:hAnsi="Times New Roman" w:eastAsia="宋体" w:cs="Times New Roman"/>
                <w:b/>
                <w:sz w:val="20"/>
                <w:szCs w:val="20"/>
                <w:u w:val="single"/>
                <w:lang w:val="en-US" w:eastAsia="zh-CN"/>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Theme="minorEastAsia"/>
                <w:iCs/>
                <w:sz w:val="20"/>
                <w:szCs w:val="20"/>
              </w:rPr>
            </w:pPr>
            <w:r>
              <w:rPr>
                <w:rFonts w:hint="eastAsia" w:eastAsiaTheme="minorEastAsia"/>
                <w:iCs/>
                <w:sz w:val="20"/>
                <w:szCs w:val="20"/>
                <w:highlight w:val="green"/>
              </w:rPr>
              <w:t>Agreement</w:t>
            </w:r>
            <w:r>
              <w:rPr>
                <w:rFonts w:eastAsiaTheme="minorEastAsia"/>
                <w:iCs/>
                <w:sz w:val="20"/>
                <w:szCs w:val="20"/>
              </w:rPr>
              <w:t>:</w:t>
            </w:r>
          </w:p>
          <w:p>
            <w:pPr>
              <w:pStyle w:val="30"/>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firstLineChars="0"/>
              <w:textAlignment w:val="auto"/>
              <w:rPr>
                <w:rFonts w:hint="eastAsia"/>
                <w:lang w:val="en-US" w:eastAsia="zh-CN"/>
              </w:rPr>
            </w:pPr>
            <w:r>
              <w:rPr>
                <w:rFonts w:eastAsia="宋体"/>
                <w:sz w:val="20"/>
                <w:szCs w:val="20"/>
              </w:rPr>
              <w:t>Reuse the legacy NR intra-frequency measurements requirement with following updates:</w:t>
            </w:r>
          </w:p>
          <w:p>
            <w:pPr>
              <w:pStyle w:val="30"/>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1236" w:leftChars="0" w:hanging="360" w:firstLineChars="0"/>
              <w:textAlignment w:val="auto"/>
              <w:rPr>
                <w:rFonts w:hint="eastAsia" w:eastAsia="宋体"/>
                <w:color w:val="auto"/>
                <w:sz w:val="20"/>
                <w:szCs w:val="20"/>
                <w:vertAlign w:val="baseline"/>
                <w:lang w:val="en-US" w:eastAsia="zh-CN"/>
              </w:rPr>
            </w:pPr>
            <w:r>
              <w:rPr>
                <w:rFonts w:eastAsia="宋体"/>
                <w:sz w:val="20"/>
                <w:szCs w:val="20"/>
              </w:rPr>
              <w:t>The assumption that deriveSSB-IndexFromCell is always enabled for FR1 TDD and FR2 is not valid in ATG scenario.</w:t>
            </w:r>
          </w:p>
        </w:tc>
      </w:tr>
    </w:tbl>
    <w:p>
      <w:pPr>
        <w:pStyle w:val="10"/>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Obviously, some further adaption regarding deriveSSB-IndexFromCell/deriveSSB-IndexFromCellInter-r17 has already been introduced for ATG scenario compared with legacy.</w:t>
      </w:r>
    </w:p>
    <w:p>
      <w:pPr>
        <w:pStyle w:val="10"/>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Bsed on the agreements achieved in previous meetings, some further adaption regarding deriveSSB-IndexFromCell/deriveSSB-IndexFromCellInter-r17 has already been introduced for ATG scenario compared with legacy.</w:t>
      </w:r>
    </w:p>
    <w:p>
      <w:pPr>
        <w:pStyle w:val="10"/>
        <w:numPr>
          <w:ilvl w:val="0"/>
          <w:numId w:val="0"/>
        </w:numPr>
        <w:ind w:leftChars="0"/>
        <w:jc w:val="both"/>
        <w:rPr>
          <w:rFonts w:hint="default" w:eastAsia="宋体"/>
          <w:color w:val="auto"/>
          <w:sz w:val="20"/>
          <w:szCs w:val="20"/>
          <w:lang w:val="en-US" w:eastAsia="zh-CN"/>
        </w:rPr>
      </w:pPr>
      <w:r>
        <w:rPr>
          <w:rFonts w:hint="eastAsia" w:eastAsia="宋体"/>
          <w:color w:val="auto"/>
          <w:sz w:val="20"/>
          <w:szCs w:val="20"/>
          <w:lang w:val="en-US" w:eastAsia="zh-CN"/>
        </w:rPr>
        <w:t>In NTN scenario, the ISD and propagation delay also have very large range, but not any additional applicability condition for deriveSSB-IndexFromCell was introduced. Regarding the applicability condition proposed by some company for ATG scenario, such as the RTD condition, we believe it is hard to apply. In a word, such idear imples  shifting the burden of the RTD estimation from NW side to UE side. While we believe such burden shift has to face multiple difficulties.</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In current spec, the condition of RTD can only be applicable to the case of CA/DC, i.e. the RTD is the receiving time difference between multiple serving cells, RAN4 has never consider any condition of RTD to restrict the receiving tmie difference between serving cell and neighbour cell, since RAN4 does not have relevant requirements to refer to.</w:t>
      </w:r>
    </w:p>
    <w:p>
      <w:pPr>
        <w:pStyle w:val="10"/>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In current spec, the condition of RTD can only be applicable to the case of CA/DC, i.e. the RTD is the receiving time difference between multiple serving cells, RAN4 has never consider any condition of RTD to restrict the receiving tmie difference between serving cell and neighbour cell, since RAN4 does not have relevant requirements to refer to.</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 xml:space="preserve">The RTD between serving link and neighbour link is determined by two factors, including the location of serving cell and neighbour cell, and the syn error between the serving cell and neighbour cell. Both the two factors can be identified by NW, but it is likely unknown for UE. So UE can only determine the RTD through the SSB detection from serving cell and neighbour cell. While based on the requirement of PSS/SSS detection for neighbour cell, at least 5 samples are needed for the omni antenna UE and 20 samples for the antenna array, take SMTC = 40ms as example, then the neighbour cell time identification would at leat take about 200ms for omni antenna and 800 ms for antenna array. During such time duration, the UE has already flown over 66 m or 264 m. When we discuss the scaling factor of N1, companies suggested to consider 2 neighbour cells, so the time duration for cell identification should be double, i.e. the UE has already flown over 132 m or 528 m. With the SMTC configuration scaled, then the time duration for cell identification is also scaled. Furthermore, some operation margin exists during the neighbour cell time identification procedure, we are not sure whether UE can estimate RTD enough accuratly. </w:t>
      </w:r>
    </w:p>
    <w:p>
      <w:pPr>
        <w:pStyle w:val="10"/>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Whether UE can estimate RTD accurately, which depends on multiple factors.</w:t>
      </w:r>
    </w:p>
    <w:p>
      <w:pPr>
        <w:pStyle w:val="38"/>
      </w:pPr>
      <w:r>
        <w:t>Table 9.2</w:t>
      </w:r>
      <w:r>
        <w:rPr>
          <w:lang w:val="en-US" w:eastAsia="zh-CN"/>
        </w:rPr>
        <w:t>D</w:t>
      </w:r>
      <w:r>
        <w:t>.5.1-1: Time period for PSS/SSS detection, (Frequency range FR1)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5"/>
            </w:pPr>
            <w:r>
              <w:t>DRX cycle</w:t>
            </w:r>
          </w:p>
        </w:tc>
        <w:tc>
          <w:tcPr>
            <w:tcW w:w="4621" w:type="dxa"/>
            <w:tcBorders>
              <w:top w:val="single" w:color="auto" w:sz="4" w:space="0"/>
              <w:left w:val="single" w:color="auto" w:sz="4" w:space="0"/>
              <w:bottom w:val="single" w:color="auto" w:sz="4" w:space="0"/>
              <w:right w:val="single" w:color="auto" w:sz="4" w:space="0"/>
            </w:tcBorders>
          </w:tcPr>
          <w:p>
            <w:pPr>
              <w:pStyle w:val="3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6"/>
            </w:pPr>
            <w:r>
              <w:t>No DRX</w:t>
            </w:r>
          </w:p>
        </w:tc>
        <w:tc>
          <w:tcPr>
            <w:tcW w:w="4621" w:type="dxa"/>
            <w:tcBorders>
              <w:top w:val="single" w:color="auto" w:sz="4" w:space="0"/>
              <w:left w:val="single" w:color="auto" w:sz="4" w:space="0"/>
              <w:bottom w:val="single" w:color="auto" w:sz="4" w:space="0"/>
              <w:right w:val="single" w:color="auto" w:sz="4" w:space="0"/>
            </w:tcBorders>
          </w:tcPr>
          <w:p>
            <w:pPr>
              <w:pStyle w:val="36"/>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36"/>
              <w:rPr>
                <w:b/>
              </w:rPr>
            </w:pPr>
            <w:r>
              <w:t>max( 600ms,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6"/>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36"/>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4"/>
            </w:pPr>
            <w:r>
              <w:t>NOTE 1:</w:t>
            </w:r>
            <w:r>
              <w:tab/>
            </w:r>
            <w:r>
              <w:t>If different SMTC periodicities are configured for different cells, the SMTC period in the requirement is the one used by the cell being identified</w:t>
            </w:r>
          </w:p>
          <w:p>
            <w:pPr>
              <w:pStyle w:val="54"/>
              <w:rPr>
                <w:lang w:eastAsia="zh-CN"/>
              </w:rPr>
            </w:pPr>
            <w:r>
              <w:t xml:space="preserve">NOTE </w:t>
            </w:r>
            <w:r>
              <w:rPr>
                <w:rFonts w:hint="eastAsia"/>
              </w:rPr>
              <w:t>2</w:t>
            </w:r>
            <w:r>
              <w:t>:</w:t>
            </w:r>
            <w:r>
              <w:tab/>
            </w:r>
            <w:r>
              <w:t>void</w:t>
            </w:r>
            <w:r>
              <w:rPr>
                <w:rFonts w:hint="eastAsia"/>
              </w:rPr>
              <w:t>.</w:t>
            </w:r>
          </w:p>
          <w:p>
            <w:pPr>
              <w:pStyle w:val="54"/>
              <w:rPr>
                <w:rFonts w:eastAsia="DengXian"/>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DengXian"/>
                <w:lang w:eastAsia="zh-CN"/>
              </w:rPr>
              <w:t>when network assistance information on ATG cells reference locations is provided, otherwise N1 = 4.</w:t>
            </w:r>
            <w:r>
              <w:rPr>
                <w:rFonts w:eastAsia="DengXian"/>
                <w:lang w:eastAsia="zh-CN"/>
              </w:rPr>
              <w:br w:type="textWrapping"/>
            </w:r>
            <w:r>
              <w:rPr>
                <w:rFonts w:eastAsia="DengXian"/>
                <w:lang w:eastAsia="zh-CN"/>
              </w:rPr>
              <w:t>Otherwise, N1 = 1.</w:t>
            </w:r>
          </w:p>
        </w:tc>
      </w:tr>
    </w:tbl>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Furthermore, with the UE flight, the RTD between serving cell and neighbour cell are always changing, if taking the RTD as the applibility condition of NW indication deriveSSB-IndexFromCell/deriveSSB-IndexFromCellInter-r17, then the situation is sometimes the UE decides to trust the NW indication, while othertimes the UE decides not to trust the NW indication. If the UE decision is always consistent with NW decision, then it is good but it seems no need to do such UE detection. But if the UE decision is not consistent with NW decision, then what UE would perform? Perform the RRM measurement and just ignore the indication of deriveSSB-IndexFromCell/deriveSSB-IndexFromCellInter-r17? Or not perform RRM measurement and wait for the next time that the RTD condition met? The proponent needs to provide clear UE behavior.</w:t>
      </w:r>
    </w:p>
    <w:p>
      <w:pPr>
        <w:pStyle w:val="10"/>
        <w:numPr>
          <w:ilvl w:val="0"/>
          <w:numId w:val="0"/>
        </w:numPr>
        <w:ind w:leftChars="0"/>
        <w:jc w:val="both"/>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4: If the UE decision is always consistent with NW decision, it is good but it seems no need to do such UE detection. If the UE decision is not consistent with NW decision, what is the UE behavior? Perform the RRM measurement and just ignore the indication of deriveSSB-IndexFromCell/deriveSSB-IndexFromCellInter-r17? Or not perform RRM measurement and wait for the next time that the RTD condition met?</w:t>
      </w:r>
    </w:p>
    <w:p>
      <w:pPr>
        <w:pStyle w:val="10"/>
        <w:numPr>
          <w:ilvl w:val="0"/>
          <w:numId w:val="0"/>
        </w:numPr>
        <w:ind w:leftChars="0"/>
        <w:jc w:val="both"/>
        <w:rPr>
          <w:rFonts w:hint="default" w:eastAsia="宋体"/>
          <w:color w:val="auto"/>
          <w:sz w:val="20"/>
          <w:szCs w:val="20"/>
          <w:lang w:val="en-US" w:eastAsia="zh-CN"/>
        </w:rPr>
      </w:pPr>
      <w:r>
        <w:rPr>
          <w:rFonts w:hint="eastAsia" w:eastAsia="宋体"/>
          <w:color w:val="auto"/>
          <w:sz w:val="20"/>
          <w:szCs w:val="20"/>
          <w:lang w:val="en-US" w:eastAsia="zh-CN"/>
        </w:rPr>
        <w:t xml:space="preserve">Consequently, to our understanding, from the perspective of UE, it is better to trust NW decision regarding the NW IE of deriveSSB-IndexFromCell/deriveSSB-IndexFromCellInter-r17. Not need to add additional applicability condition. </w:t>
      </w:r>
    </w:p>
    <w:p>
      <w:pPr>
        <w:pStyle w:val="10"/>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1: Not need to add additional applicability condition on the NW indication of deriveSSB-IndexFromCell/deriveSSB-IndexFromCellInter-r17.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test of ATG UE</w:t>
      </w:r>
      <w:r>
        <w:rPr>
          <w:rFonts w:eastAsia="宋体"/>
          <w:bCs/>
          <w:color w:val="auto"/>
          <w:sz w:val="20"/>
          <w:szCs w:val="20"/>
          <w:lang w:val="en-GB" w:eastAsia="zh-CN"/>
        </w:rPr>
        <w:t>:</w:t>
      </w:r>
    </w:p>
    <w:p>
      <w:pPr>
        <w:pStyle w:val="10"/>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Bsed on the agreements achieved in previous meetings, some further adaption regarding deriveSSB-IndexFromCell/deriveSSB-IndexFromCellInter-r17 has already been introduced for ATG scenario compared with legacy.</w:t>
      </w:r>
    </w:p>
    <w:p>
      <w:pPr>
        <w:pStyle w:val="10"/>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In current spec, the condition of RTD can only be applicable to the case of CA/DC, i.e. the RTD is the receiving time difference between multiple serving cells, RAN4 has never consider any condition of RTD to restrict the receiving tmie difference between serving cell and neighbour cell, since RAN4 does not have relevant requirements to refer to.</w:t>
      </w:r>
    </w:p>
    <w:p>
      <w:pPr>
        <w:pStyle w:val="10"/>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Whether UE can estimate RTD accurately, which depends on multiple factors.</w:t>
      </w:r>
    </w:p>
    <w:p>
      <w:pPr>
        <w:pStyle w:val="10"/>
        <w:numPr>
          <w:ilvl w:val="0"/>
          <w:numId w:val="0"/>
        </w:numPr>
        <w:ind w:leftChars="0"/>
        <w:jc w:val="both"/>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4: If the UE decision is always consistent with NW decision, it is good but it seems no need to do such UE detection. If the UE decision is not consistent with NW decision, what is the UE behavior? Perform the RRM measurement and just ignore the indication of deriveSSB-IndexFromCell/deriveSSB-IndexFromCellInter-r17? Or not perform RRM measurement and wait for the next time that the RTD condition met?</w:t>
      </w:r>
    </w:p>
    <w:p>
      <w:pPr>
        <w:pStyle w:val="10"/>
        <w:numPr>
          <w:ilvl w:val="0"/>
          <w:numId w:val="0"/>
        </w:numPr>
        <w:ind w:leftChars="0"/>
        <w:jc w:val="both"/>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 xml:space="preserve">Proposal 1: Not need to add additional applicability condition on the NW indication of deriveSSB-IndexFromCell/deriveSSB-IndexFromCellInter-r17.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5"/>
        </w:numPr>
        <w:ind w:leftChars="0"/>
        <w:rPr>
          <w:rFonts w:hint="eastAsia"/>
          <w:color w:val="auto"/>
          <w:highlight w:val="none"/>
          <w:lang w:val="en-US" w:eastAsia="zh-CN"/>
        </w:rPr>
      </w:pPr>
      <w:r>
        <w:rPr>
          <w:rFonts w:hint="eastAsia"/>
          <w:color w:val="auto"/>
          <w:highlight w:val="none"/>
          <w:lang w:val="en-US" w:eastAsia="zh-CN"/>
        </w:rPr>
        <w:t xml:space="preserve">R4-2406428 </w:t>
      </w:r>
      <w:r>
        <w:rPr>
          <w:rFonts w:hint="default"/>
          <w:color w:val="auto"/>
          <w:highlight w:val="none"/>
          <w:lang w:val="en-US" w:eastAsia="zh-CN"/>
        </w:rPr>
        <w:t>“WF on RRM requirements for NR ATG”</w:t>
      </w:r>
      <w:r>
        <w:rPr>
          <w:rFonts w:hint="eastAsia"/>
          <w:color w:val="auto"/>
          <w:highlight w:val="none"/>
          <w:lang w:val="en-US" w:eastAsia="zh-CN"/>
        </w:rPr>
        <w:t>, CMCC</w:t>
      </w:r>
    </w:p>
    <w:p>
      <w:pPr>
        <w:pStyle w:val="11"/>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E2749"/>
    <w:multiLevelType w:val="singleLevel"/>
    <w:tmpl w:val="FC1E2749"/>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60"/>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0"/>
      <w:numFmt w:val="bullet"/>
      <w:lvlText w:val="-"/>
      <w:lvlJc w:val="left"/>
      <w:pPr>
        <w:tabs>
          <w:tab w:val="left" w:pos="-420"/>
        </w:tabs>
        <w:ind w:left="4116" w:hanging="360"/>
      </w:pPr>
      <w:rPr>
        <w:rFonts w:hint="default" w:ascii="Times New Roman" w:hAnsi="Times New Roman" w:eastAsia="Yu Mincho" w:cs="Times New Roman"/>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4B"/>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E73AD0"/>
    <w:rsid w:val="05000747"/>
    <w:rsid w:val="05317828"/>
    <w:rsid w:val="05477E90"/>
    <w:rsid w:val="05BB5AB9"/>
    <w:rsid w:val="05C42923"/>
    <w:rsid w:val="06226EA6"/>
    <w:rsid w:val="065C04B2"/>
    <w:rsid w:val="06963BA6"/>
    <w:rsid w:val="07CB1C61"/>
    <w:rsid w:val="07CD3CDD"/>
    <w:rsid w:val="07F64CE8"/>
    <w:rsid w:val="083E6EA0"/>
    <w:rsid w:val="084E5514"/>
    <w:rsid w:val="0855671D"/>
    <w:rsid w:val="08773328"/>
    <w:rsid w:val="0889722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CF2414E"/>
    <w:rsid w:val="0D244E26"/>
    <w:rsid w:val="0DEE745F"/>
    <w:rsid w:val="0DFD7458"/>
    <w:rsid w:val="0E104B55"/>
    <w:rsid w:val="0F0A6D3C"/>
    <w:rsid w:val="0FAD3D1E"/>
    <w:rsid w:val="102263EF"/>
    <w:rsid w:val="10293D80"/>
    <w:rsid w:val="10997F43"/>
    <w:rsid w:val="10DE7BAE"/>
    <w:rsid w:val="120774A3"/>
    <w:rsid w:val="12577549"/>
    <w:rsid w:val="12887761"/>
    <w:rsid w:val="13566046"/>
    <w:rsid w:val="14006D19"/>
    <w:rsid w:val="1481754F"/>
    <w:rsid w:val="148F32AB"/>
    <w:rsid w:val="148F5721"/>
    <w:rsid w:val="14AC57CD"/>
    <w:rsid w:val="15ED3E9B"/>
    <w:rsid w:val="164514BE"/>
    <w:rsid w:val="166B2EA9"/>
    <w:rsid w:val="16B74615"/>
    <w:rsid w:val="16E73296"/>
    <w:rsid w:val="170F06AA"/>
    <w:rsid w:val="17225508"/>
    <w:rsid w:val="17603D5C"/>
    <w:rsid w:val="17B07FBC"/>
    <w:rsid w:val="180A6E32"/>
    <w:rsid w:val="183F2CD2"/>
    <w:rsid w:val="1856323E"/>
    <w:rsid w:val="18AF55E3"/>
    <w:rsid w:val="18B077E2"/>
    <w:rsid w:val="18B1519A"/>
    <w:rsid w:val="18CD0507"/>
    <w:rsid w:val="18F36BA5"/>
    <w:rsid w:val="193B6DE3"/>
    <w:rsid w:val="195D7D48"/>
    <w:rsid w:val="1A734CEB"/>
    <w:rsid w:val="1AD01A1B"/>
    <w:rsid w:val="1B61065A"/>
    <w:rsid w:val="1B8505B7"/>
    <w:rsid w:val="1BBF3927"/>
    <w:rsid w:val="1C177B08"/>
    <w:rsid w:val="1C9001C6"/>
    <w:rsid w:val="1CBA2101"/>
    <w:rsid w:val="1D0573D7"/>
    <w:rsid w:val="1D153DC4"/>
    <w:rsid w:val="1D223E0B"/>
    <w:rsid w:val="1D317C9F"/>
    <w:rsid w:val="1D6B1DA5"/>
    <w:rsid w:val="1E132F88"/>
    <w:rsid w:val="1E2867E9"/>
    <w:rsid w:val="1E853F6F"/>
    <w:rsid w:val="1E9C7BCC"/>
    <w:rsid w:val="1ECC1E3C"/>
    <w:rsid w:val="1EEE24B1"/>
    <w:rsid w:val="1EF865B5"/>
    <w:rsid w:val="1FC85766"/>
    <w:rsid w:val="203504C5"/>
    <w:rsid w:val="2067621D"/>
    <w:rsid w:val="208364FC"/>
    <w:rsid w:val="208953F9"/>
    <w:rsid w:val="21014C39"/>
    <w:rsid w:val="21244EB1"/>
    <w:rsid w:val="213964D8"/>
    <w:rsid w:val="213D2EB0"/>
    <w:rsid w:val="21595D04"/>
    <w:rsid w:val="21F13629"/>
    <w:rsid w:val="223236B6"/>
    <w:rsid w:val="2255462C"/>
    <w:rsid w:val="22CD49DC"/>
    <w:rsid w:val="22E5139E"/>
    <w:rsid w:val="2305377E"/>
    <w:rsid w:val="237674B3"/>
    <w:rsid w:val="238230CD"/>
    <w:rsid w:val="23901822"/>
    <w:rsid w:val="24122135"/>
    <w:rsid w:val="244E322A"/>
    <w:rsid w:val="24D4257E"/>
    <w:rsid w:val="25595E7E"/>
    <w:rsid w:val="2572202B"/>
    <w:rsid w:val="2605683C"/>
    <w:rsid w:val="26731922"/>
    <w:rsid w:val="26BB1419"/>
    <w:rsid w:val="27A2088A"/>
    <w:rsid w:val="27B748AA"/>
    <w:rsid w:val="27CB4CB9"/>
    <w:rsid w:val="281C2F58"/>
    <w:rsid w:val="28DF773E"/>
    <w:rsid w:val="2901513D"/>
    <w:rsid w:val="29642C4B"/>
    <w:rsid w:val="29C21DCA"/>
    <w:rsid w:val="29F51563"/>
    <w:rsid w:val="2A34628C"/>
    <w:rsid w:val="2A724D05"/>
    <w:rsid w:val="2A7E505C"/>
    <w:rsid w:val="2AC85686"/>
    <w:rsid w:val="2AD04B5F"/>
    <w:rsid w:val="2ADA0FDB"/>
    <w:rsid w:val="2B136BA2"/>
    <w:rsid w:val="2BC05B2C"/>
    <w:rsid w:val="2BD617C5"/>
    <w:rsid w:val="2C112837"/>
    <w:rsid w:val="2C9B1252"/>
    <w:rsid w:val="2C9C2786"/>
    <w:rsid w:val="2CC13667"/>
    <w:rsid w:val="2D977CDA"/>
    <w:rsid w:val="2E014790"/>
    <w:rsid w:val="2E3F30C4"/>
    <w:rsid w:val="2EE77680"/>
    <w:rsid w:val="2F2F0FC8"/>
    <w:rsid w:val="2FA70460"/>
    <w:rsid w:val="2FDE0AA7"/>
    <w:rsid w:val="30057FE3"/>
    <w:rsid w:val="301C6BB6"/>
    <w:rsid w:val="306B48E2"/>
    <w:rsid w:val="30FD3EF5"/>
    <w:rsid w:val="311A1818"/>
    <w:rsid w:val="31876C6F"/>
    <w:rsid w:val="319708F2"/>
    <w:rsid w:val="31A8260E"/>
    <w:rsid w:val="31B14C9E"/>
    <w:rsid w:val="32B46B3E"/>
    <w:rsid w:val="332B149D"/>
    <w:rsid w:val="33C522D7"/>
    <w:rsid w:val="344C156B"/>
    <w:rsid w:val="34807672"/>
    <w:rsid w:val="35B06C6A"/>
    <w:rsid w:val="366149EB"/>
    <w:rsid w:val="36941AA2"/>
    <w:rsid w:val="36D37423"/>
    <w:rsid w:val="37316B6C"/>
    <w:rsid w:val="379D23F9"/>
    <w:rsid w:val="37C63114"/>
    <w:rsid w:val="38621430"/>
    <w:rsid w:val="3A185287"/>
    <w:rsid w:val="3A1F46B8"/>
    <w:rsid w:val="3A281202"/>
    <w:rsid w:val="3A692CD0"/>
    <w:rsid w:val="3AAE4AA7"/>
    <w:rsid w:val="3AF23299"/>
    <w:rsid w:val="3B1156F3"/>
    <w:rsid w:val="3B270929"/>
    <w:rsid w:val="3B3D5571"/>
    <w:rsid w:val="3B673620"/>
    <w:rsid w:val="3B6D26F5"/>
    <w:rsid w:val="3B9A1F29"/>
    <w:rsid w:val="3BFF3047"/>
    <w:rsid w:val="3C8D7627"/>
    <w:rsid w:val="3CE4646B"/>
    <w:rsid w:val="3CFC1228"/>
    <w:rsid w:val="3D5E7AA8"/>
    <w:rsid w:val="3D6F2596"/>
    <w:rsid w:val="3D946587"/>
    <w:rsid w:val="3DE672C9"/>
    <w:rsid w:val="3DF2306A"/>
    <w:rsid w:val="3FEC6FC4"/>
    <w:rsid w:val="4042383D"/>
    <w:rsid w:val="405F175E"/>
    <w:rsid w:val="40C765F3"/>
    <w:rsid w:val="426217F9"/>
    <w:rsid w:val="42AF3D95"/>
    <w:rsid w:val="42C9357F"/>
    <w:rsid w:val="42F869D2"/>
    <w:rsid w:val="43186073"/>
    <w:rsid w:val="43553536"/>
    <w:rsid w:val="44972678"/>
    <w:rsid w:val="451632B9"/>
    <w:rsid w:val="45906394"/>
    <w:rsid w:val="45C245CB"/>
    <w:rsid w:val="45F60A50"/>
    <w:rsid w:val="46142D0C"/>
    <w:rsid w:val="46263A53"/>
    <w:rsid w:val="46970A81"/>
    <w:rsid w:val="46A86BFA"/>
    <w:rsid w:val="46B036BF"/>
    <w:rsid w:val="46CC320F"/>
    <w:rsid w:val="47282363"/>
    <w:rsid w:val="47427364"/>
    <w:rsid w:val="477C2B8D"/>
    <w:rsid w:val="47810C98"/>
    <w:rsid w:val="47924F0A"/>
    <w:rsid w:val="48EE54ED"/>
    <w:rsid w:val="48F407FD"/>
    <w:rsid w:val="494D0152"/>
    <w:rsid w:val="49DC4EAC"/>
    <w:rsid w:val="49E55BC5"/>
    <w:rsid w:val="4A0E202B"/>
    <w:rsid w:val="4A5D0BB5"/>
    <w:rsid w:val="4A784B9A"/>
    <w:rsid w:val="4ADC0DE1"/>
    <w:rsid w:val="4B600E77"/>
    <w:rsid w:val="4B8B4475"/>
    <w:rsid w:val="4B8F684D"/>
    <w:rsid w:val="4BF02011"/>
    <w:rsid w:val="4C011682"/>
    <w:rsid w:val="4C1C63D6"/>
    <w:rsid w:val="4C2D52ED"/>
    <w:rsid w:val="4C475FD9"/>
    <w:rsid w:val="4C4F7C59"/>
    <w:rsid w:val="4C864A35"/>
    <w:rsid w:val="4D207A05"/>
    <w:rsid w:val="4D53283E"/>
    <w:rsid w:val="4D6F4DFF"/>
    <w:rsid w:val="4E015C76"/>
    <w:rsid w:val="4E310026"/>
    <w:rsid w:val="4E4A2325"/>
    <w:rsid w:val="4F107345"/>
    <w:rsid w:val="4F234D65"/>
    <w:rsid w:val="4FC7362A"/>
    <w:rsid w:val="4FFF7B8D"/>
    <w:rsid w:val="501A6C55"/>
    <w:rsid w:val="515B1740"/>
    <w:rsid w:val="515C2DA0"/>
    <w:rsid w:val="51B14BED"/>
    <w:rsid w:val="52526454"/>
    <w:rsid w:val="525C1CEF"/>
    <w:rsid w:val="528B5767"/>
    <w:rsid w:val="52D33625"/>
    <w:rsid w:val="53A3105E"/>
    <w:rsid w:val="53C64B93"/>
    <w:rsid w:val="548A6C60"/>
    <w:rsid w:val="54DE7749"/>
    <w:rsid w:val="551464BF"/>
    <w:rsid w:val="55B1164D"/>
    <w:rsid w:val="55B4735E"/>
    <w:rsid w:val="55BB221D"/>
    <w:rsid w:val="55DF5537"/>
    <w:rsid w:val="56371459"/>
    <w:rsid w:val="56484633"/>
    <w:rsid w:val="574036F5"/>
    <w:rsid w:val="57FF4799"/>
    <w:rsid w:val="58D0053D"/>
    <w:rsid w:val="595A2A3C"/>
    <w:rsid w:val="598C40A0"/>
    <w:rsid w:val="59990ED0"/>
    <w:rsid w:val="59B95448"/>
    <w:rsid w:val="59DA647E"/>
    <w:rsid w:val="5A556E1A"/>
    <w:rsid w:val="5BA33C64"/>
    <w:rsid w:val="5BF92FF2"/>
    <w:rsid w:val="5C0C7CD1"/>
    <w:rsid w:val="5C924E81"/>
    <w:rsid w:val="5D724260"/>
    <w:rsid w:val="5DED27D5"/>
    <w:rsid w:val="5E015742"/>
    <w:rsid w:val="5E2864D0"/>
    <w:rsid w:val="5E494511"/>
    <w:rsid w:val="5EB44FC0"/>
    <w:rsid w:val="5FBA395F"/>
    <w:rsid w:val="60094E5C"/>
    <w:rsid w:val="606F38F4"/>
    <w:rsid w:val="60EC2CBA"/>
    <w:rsid w:val="612A4DC3"/>
    <w:rsid w:val="61751E71"/>
    <w:rsid w:val="61CC2D28"/>
    <w:rsid w:val="623E10C1"/>
    <w:rsid w:val="62B35208"/>
    <w:rsid w:val="635902CD"/>
    <w:rsid w:val="63C03536"/>
    <w:rsid w:val="63E95C2E"/>
    <w:rsid w:val="64282DCC"/>
    <w:rsid w:val="64706BBE"/>
    <w:rsid w:val="64F2095B"/>
    <w:rsid w:val="64F93A4C"/>
    <w:rsid w:val="652470FF"/>
    <w:rsid w:val="65A16A49"/>
    <w:rsid w:val="67A858DB"/>
    <w:rsid w:val="67FE4166"/>
    <w:rsid w:val="687314D3"/>
    <w:rsid w:val="68C401C3"/>
    <w:rsid w:val="695848C3"/>
    <w:rsid w:val="69625836"/>
    <w:rsid w:val="69A833BD"/>
    <w:rsid w:val="69AF6305"/>
    <w:rsid w:val="69EF6835"/>
    <w:rsid w:val="6A017EF7"/>
    <w:rsid w:val="6D4D0430"/>
    <w:rsid w:val="6D566F0F"/>
    <w:rsid w:val="6D836F72"/>
    <w:rsid w:val="6D8D1B93"/>
    <w:rsid w:val="6DDE3DAF"/>
    <w:rsid w:val="6DE76B3B"/>
    <w:rsid w:val="6E3241BE"/>
    <w:rsid w:val="6EB97A9D"/>
    <w:rsid w:val="6EF10A90"/>
    <w:rsid w:val="6EFC7DED"/>
    <w:rsid w:val="6F2309BE"/>
    <w:rsid w:val="6F2A7FBF"/>
    <w:rsid w:val="6FAE5A48"/>
    <w:rsid w:val="6FFF1868"/>
    <w:rsid w:val="707E77A2"/>
    <w:rsid w:val="713872F5"/>
    <w:rsid w:val="715F4C2D"/>
    <w:rsid w:val="71DD657B"/>
    <w:rsid w:val="722F78FB"/>
    <w:rsid w:val="723C2F8E"/>
    <w:rsid w:val="723D67C5"/>
    <w:rsid w:val="726A5F44"/>
    <w:rsid w:val="72BF60CA"/>
    <w:rsid w:val="72F41282"/>
    <w:rsid w:val="73020973"/>
    <w:rsid w:val="733D0D32"/>
    <w:rsid w:val="73B76769"/>
    <w:rsid w:val="73D411F1"/>
    <w:rsid w:val="744C446A"/>
    <w:rsid w:val="74701A0B"/>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A283224"/>
    <w:rsid w:val="7A2F5236"/>
    <w:rsid w:val="7A9367CB"/>
    <w:rsid w:val="7AEF5C78"/>
    <w:rsid w:val="7AF22571"/>
    <w:rsid w:val="7B0720CF"/>
    <w:rsid w:val="7B4C0E47"/>
    <w:rsid w:val="7B69224B"/>
    <w:rsid w:val="7BE80F25"/>
    <w:rsid w:val="7C1C35A7"/>
    <w:rsid w:val="7C45431D"/>
    <w:rsid w:val="7CA86B79"/>
    <w:rsid w:val="7D1566AD"/>
    <w:rsid w:val="7D25352B"/>
    <w:rsid w:val="7D3219D5"/>
    <w:rsid w:val="7DDD0501"/>
    <w:rsid w:val="7DE51372"/>
    <w:rsid w:val="7E3D0B49"/>
    <w:rsid w:val="7E5E590F"/>
    <w:rsid w:val="7E935AFB"/>
    <w:rsid w:val="7F226D81"/>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60">
    <w:name w:val="样式3"/>
    <w:basedOn w:val="30"/>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2024-05-13T08:10:30Z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37E5B2F501C7414CA35566C79889349E</vt:lpwstr>
  </property>
</Properties>
</file>